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360" w:after="160"/>
        <w:ind w:firstLine="0"/>
        <w:jc w:val="center"/>
      </w:pPr>
      <w:r>
        <w:rPr>
          <w:b/>
        </w:rPr>
        <w:t>КЛАДОВАЯ ГИПСР</w:t>
      </w:r>
    </w:p>
    <w:p>
      <w:pPr>
        <w:spacing w:before="0" w:after="1200"/>
        <w:ind w:firstLine="0"/>
        <w:jc w:val="center"/>
      </w:pPr>
      <w:r>
        <w:t>Библиотека учебных работ</w:t>
      </w:r>
    </w:p>
    <w:p>
      <w:pPr>
        <w:spacing w:before="0" w:after="320"/>
        <w:ind w:firstLine="0"/>
        <w:jc w:val="center"/>
      </w:pPr>
      <w:r>
        <w:t>ЭССЕ</w:t>
      </w:r>
    </w:p>
    <w:p>
      <w:pPr>
        <w:pStyle w:val="Title"/>
        <w:spacing w:before="0" w:after="520"/>
        <w:ind w:firstLine="0"/>
        <w:jc w:val="center"/>
      </w:pPr>
      <w:r>
        <w:t>Социология малых групп: особенности принятия решений в группе</w:t>
      </w:r>
    </w:p>
    <w:p>
      <w:pPr>
        <w:spacing w:before="0" w:after="360"/>
        <w:ind w:firstLine="0"/>
        <w:jc w:val="center"/>
      </w:pPr>
      <w:r>
        <w:t>Дисциплина: Социология</w:t>
      </w:r>
    </w:p>
    <w:p>
      <w:pPr>
        <w:spacing w:before="1000" w:after="240"/>
        <w:ind w:firstLine="0"/>
        <w:jc w:val="center"/>
      </w:pPr>
      <w:r>
        <w:rPr>
          <w:sz w:val="24"/>
        </w:rPr>
        <w:t>Авторская работа редакции Кладовой ГИПСР</w:t>
      </w:r>
    </w:p>
    <w:p>
      <w:pPr>
        <w:spacing w:before="500" w:after="0"/>
        <w:ind w:firstLine="0"/>
        <w:jc w:val="center"/>
      </w:pPr>
      <w:r>
        <w:t>Санкт-Петербург</w:t>
        <w:br/>
        <w:t>2026</w:t>
      </w:r>
    </w:p>
    <w:p>
      <w:r>
        <w:br w:type="page"/>
      </w:r>
    </w:p>
    <w:p>
      <w:pPr>
        <w:pStyle w:val="Heading1"/>
      </w:pPr>
      <w:r>
        <w:t>Введение</w:t>
      </w:r>
    </w:p>
    <w:p>
      <w:r>
        <w:t>У небольшой группы есть преимущество, которого нет у отдельного человека: участники могут заметить разные стороны одной проблемы. Но само присутствие нескольких людей ещё не превращает разрозненные знания в разумное решение. На собрании можно долго говорить, быстро согласиться и лишь после обнаружить, что важное обстоятельство было известно одному человеку, который так и не получил слова. Поэтому вопрос о групповых решениях нельзя свести к сравнению числа участников или их индивидуальных способностей.</w:t>
      </w:r>
    </w:p>
    <w:p>
      <w:r>
        <w:t>В этом эссе я отстаиваю следующий тезис: качество коллективного выбора зависит прежде всего от того, как группа превращает различия между участниками в проверяемые аргументы. Для этого недостаточно доброжелательной атмосферы. Нужны понятная задача, возможность сообщить неудобные сведения, различение факта и предпочтения и заранее определённый способ завершить обсуждение. Согласие ценно тогда, когда оно возникает после рассмотрения альтернатив, а не подменяет такое рассмотрение.</w:t>
      </w:r>
    </w:p>
    <w:p>
      <w:r>
        <w:t>Малая группа здесь понимается как круг людей, которые непосредственно взаимодействуют и связывают свои действия с общей задачей. Студенческая команда, рабочая комиссия и волонтёрский совет могут принимать похожие по форме решения, но различаться по полномочиям, ответственности и длительности совместной работы. Именно эти отношения делают проблему социологической: важно не только то, что думает каждый участник, но и то, кто вправе задавать повестку, чьи слова считаются убедительными и кому предстоит исполнять итоговое решение.</w:t>
      </w:r>
    </w:p>
    <w:p>
      <w:pPr>
        <w:pStyle w:val="Heading1"/>
      </w:pPr>
      <w:r>
        <w:t>Почему сумма знаний не равна знанию группы</w:t>
      </w:r>
    </w:p>
    <w:p>
      <w:r>
        <w:t>Представим выбор темы учебного проекта. Один участник знает литературу, другой понимает ограничения по времени, третий уже сталкивался с недоступностью нужных данных. В индивидуальных записях команды может находиться всё необходимое для обоснованного выбора. Однако общего знания ещё нет: сведения должны быть высказаны, поняты и связаны с критериями задачи. Обсуждение является отдельной работой, а не автоматической передачей содержимого памяти участников.</w:t>
      </w:r>
    </w:p>
    <w:p>
      <w:r>
        <w:t>Это различие помогает понять классическое исследование Г. Стассера и У. Титуса. Авторы изучали обсуждение в условиях, когда информация распределялась между участниками неравномерно. Группа чаще обращалась к сведениям, известным нескольким её членам, и к аргументам в пользу уже сложившихся предпочтений. Уникальные сведения могли не получить достаточного внимания, хотя именно их объединение требовалось для более обоснованного выбора [1, с. 1467–1478]. Таким образом, наличие информации у группы и её использование в дискуссии нельзя считать одним и тем же.</w:t>
      </w:r>
    </w:p>
    <w:p>
      <w:r>
        <w:t>Из этой работы я делаю процедурный вывод: полезно сначала спросить каждого, что известно только ему, и лишь затем обсуждать предпочтительный вариант. Это не универсально доказанный рецепт для любой команды, а способ ответить на обозначенную проблему. Он меняет начальный вопрос собрания. Вместо «кто за первый вариант?» участники сначала отвечают: «какие ограничения и данные ещё не вошли в общую картину?»</w:t>
      </w:r>
    </w:p>
    <w:p>
      <w:r>
        <w:t>Важна и судьба сведений после выступления. Если уникальный аргумент один раз прозвучал, но не отражён в общей записи, формально свободное обсуждение всё равно может его потерять. Поэтому я считаю общую таблицу оснований полезнее простого списка выступивших: напротив каждого варианта фиксируются подтверждённые обстоятельства, нерешённые вопросы и последствия выбора. Такой документ позволяет вернуться к содержанию, даже если самый убедительный оратор уже сформировал настроение группы.</w:t>
      </w:r>
    </w:p>
    <w:p>
      <w:pPr>
        <w:pStyle w:val="Heading1"/>
      </w:pPr>
      <w:r>
        <w:t>Авторитет, согласие и право на возражение</w:t>
      </w:r>
    </w:p>
    <w:p>
      <w:r>
        <w:t>В малой группе люди оценивают не только аргументы, но и отношения. Возразить близкому другу, руководителю или участнику, который выполнил большую часть предыдущей работы, бывает сложнее, чем незнакомому человеку. Это не означает, что уважение обязательно мешает делу. Проблема возникает, когда личное доверие становится достаточным основанием принять утверждение, которое можно и нужно проверить независимо от говорящего.</w:t>
      </w:r>
    </w:p>
    <w:p>
      <w:r>
        <w:t>Полезно различать авторитет компетентности и право окончательного решения. Человек может лучше других понимать метод исследования, но не иметь полномочий единолично распределять чужую нагрузку. И наоборот, координатор вправе утвердить рабочий план, хотя его прогноз времени следует проверять так же, как прогноз любого участника. Если группа не различает эти роли, обсуждение превращается в неясное соревнование влияния: содержательный спор воспринимается как покушение на статус.</w:t>
      </w:r>
    </w:p>
    <w:p>
      <w:r>
        <w:t>Эксперимент Я. Лоренца и соавторов показывает ещё одну причину осторожно относиться к видимому единодушию. В исследовании 144 участника оценивали фактические величины; при доступе к чужим оценкам ответы сближались, а уверенность могла увеличиваться без соответствующего улучшения коллективной точности [2, с. 9020–9025]. Здесь изучались специальные задачи численной оценки, а не все формы совместной деятельности. Тем не менее результат позволяет поставить важный вопрос: почему мы считаем согласие свидетельством правильности, если оно может возникнуть благодаря взаимному подстраиванию?</w:t>
      </w:r>
    </w:p>
    <w:p>
      <w:r>
        <w:t>Моя позиция состоит в том, что несогласие следует сделать обычной частью процедуры. Недостаточно призыва «не бойтесь спорить», когда уже объявлен любимый вариант руководителя. Полезнее предложить всем независимо записать первоначальное решение и его основания, а затем обсудить различия. После этого участник может изменить мнение, сохранив возможность объяснить, какая новая информация на него повлияла. В таком порядке изменение позиции является результатом рассмотрения аргументов, а не обязанностью соответствовать большинству.</w:t>
      </w:r>
    </w:p>
    <w:p>
      <w:r>
        <w:t>При этом возражение не обладает ценностью только потому, что оно идёт против общего мнения. Критик тоже должен назвать основание, предложить проверку или показать существенный риск. Иначе защита несогласия превращается в право бесконечно останавливать совместную работу. Комфорт обсуждения предполагает уважение к человеку; качество решения требует одинаковой требовательности к доводам сторонников и противников каждого варианта.</w:t>
      </w:r>
    </w:p>
    <w:p>
      <w:pPr>
        <w:pStyle w:val="Heading1"/>
      </w:pPr>
      <w:r>
        <w:t>Может ли группа быть умнее своих участников</w:t>
      </w:r>
    </w:p>
    <w:p>
      <w:r>
        <w:t>Исследование А. Вулли и соавторов представляет более оптимистичную сторону проблемы. В двух исследованиях с участием 699 человек авторы обнаружили общий фактор результативности групп при выполнении разных заданий. Он был связан с социальной чувствительностью участников и более равномерным распределением очередности высказываний; связь с максимальным или средним индивидуальным интеллектом была слабее [3, с. 686–688]. Эти результаты не означают, что любая дружная группа превосходит специалиста или что всем следует говорить строго одинаковое количество минут.</w:t>
      </w:r>
    </w:p>
    <w:p>
      <w:r>
        <w:t>На мой взгляд, ценность этой работы для организации обсуждения заключается в смене единицы внимания. Подбор сильных участников необходим, но после него остаётся вопрос: могут ли они совместно использовать свои способности? Эксперт, который не слушает уточнений, и внимательный участник, который не решается сообщить об ошибке, создают совсем другую команду, чем те же люди при ясных правилах взаимодействия. Качество состава и качество процесса следует оценивать отдельно.</w:t>
      </w:r>
    </w:p>
    <w:p>
      <w:r>
        <w:t>Существуют задачи, в которых обсуждение действительно избыточно. Если требуется проверить конкретное вычисление, сначала нужна корректная процедура проверки. Голосование не способно сделать неверный результат верным. Если же выбирается время совместной встречи, предпочтения участников составляют сам предмет решения: здесь невозможно заменить согласование поиском единственного научно правильного ответа. Между этими полюсами находятся сложные задачи, где проверяемые факты соединяются с ценностями и ограничениями.</w:t>
      </w:r>
    </w:p>
    <w:p>
      <w:r>
        <w:t>Поэтому до дискуссии я предлагаю разделять три вопроса. Что можно установить проверкой? Что зависит от интересов участников? Кто и на каком основании принимает окончательное решение? Например, длительность выполнения задания можно оценивать и уточнять; допустимую нагрузку нужно согласовать; утверждение плана может быть поручено координатору. Такое разделение уменьшает риск спорить о вкусах как о фактах и утверждать факты большинством голосов.</w:t>
      </w:r>
    </w:p>
    <w:p>
      <w:pPr>
        <w:pStyle w:val="Heading1"/>
      </w:pPr>
      <w:r>
        <w:t>Учебный пример: выбор группового проекта</w:t>
      </w:r>
    </w:p>
    <w:p>
      <w:r>
        <w:t>Рассмотрим авторский учебный пример, а не описание проведённого исследования. Пять студентов выбирают между интервью с выпускниками, анализом опубликованных документов и анкетированием большой выборки. До обсуждения каждый независимо называет предпочтение и фиксирует известные ограничения. Двое выбирают интервью, двое — анкетирование, один — анализ документов. Эти условные числа нужны только для пояснения процедуры и не являются эмпирическими результатами.</w:t>
      </w:r>
    </w:p>
    <w:p>
      <w:r>
        <w:t>На первом этапе участники договариваются о критериях: соответствие заданию, доступность материала, выполнимость в срок и содержательная ценность. Критерии принимаются до сравнения вариантов, чтобы не подгонять их под уже выбранную идею. Команда отдельно отмечает обязательные условия. Если преподаватель требует определённый метод, вариант без него нельзя компенсировать привлекательным оформлением или меньшей трудоёмкостью.</w:t>
      </w:r>
    </w:p>
    <w:p>
      <w:r>
        <w:t>Далее группа обменивается сведениями. Сторонник интервью сообщает о предварительном согласии нескольких выпускников, но уточняет, что время встреч не подтверждено. Сторонник анкетирования признаёт отсутствие доступа к заявленной выборке. Участник, предложивший документы, показывает открытый архив и объясняет его ограничения. Группа получает основания для сравнения, а не только распределение симпатий. Непроверенные обещания отмечаются как неопределённость, а не записываются в преимущества варианта.</w:t>
      </w:r>
    </w:p>
    <w:p>
      <w:r>
        <w:t>После обсуждения команда может выбрать анализ документов, если это допускает задание, и определить условия пересмотра: например, если в архиве не обнаружится достаточного материала по выбранному вопросу. Такой исход не доказывает, что документальный анализ всегда лучше интервью. Его преимущество существует только относительно данных ограничений. В другой ситуации подтверждённый доступ к респондентам и другая учебная цель привели бы к иному решению.</w:t>
      </w:r>
    </w:p>
    <w:p>
      <w:r>
        <w:t>Завершение выбора должно включать распределение действий: кто проверяет пригодность источников, кто согласует вопрос с преподавателем, когда группа оценивает результат первого этапа. Иначе обсуждение создаёт удовлетворение от найденной идеи, но не совместную деятельность. С моей точки зрения, исполнимость входит в качество группового решения: удачная мысль, за которую никто не отвечает, ещё не является рабочим планом.</w:t>
      </w:r>
    </w:p>
    <w:p>
      <w:pPr>
        <w:pStyle w:val="Heading1"/>
      </w:pPr>
      <w:r>
        <w:t>Границы участия и ответственность</w:t>
      </w:r>
    </w:p>
    <w:p>
      <w:r>
        <w:t>Коллективное обсуждение требует времени, поэтому его полнота должна соответствовать значимости решения. Для обратимого бытового выбора достаточно короткого согласования. Для решения, затрагивающего интересы всех участников и трудно исправляемого позднее, оправдано отдельное рассмотрение альтернатив. Одинаково подробная процедура на любой случай сама становится препятствием: группа расходует внимание на второстепенные вопросы и торопится там, где нужна осторожность.</w:t>
      </w:r>
    </w:p>
    <w:p>
      <w:r>
        <w:t>Распределённое участие не должно означать растворённую ответственность. После принятия решения полезно сохранить не только итог, но и его основания, ограничения и дату пересмотра. Тогда неудача становится поводом проверить исходные предположения, а не искать человека, который однажды неуверенно возразил. Участник отвечает за порученное действие, координатор — за согласованность процесса, а команда совместно возвращается к выбору при появлении существенных новых обстоятельств.</w:t>
      </w:r>
    </w:p>
    <w:p>
      <w:r>
        <w:t>Наконец, вовлечение имеет смысл только при понятных границах влияния. Если решение уже принято вне группы, честнее обсуждать способы его исполнения, чем разыгрывать выбор между недоступными альтернативами. Формальная возможность высказаться без возможности повлиять на результат подрывает смысл участия. Комфортная группа не скрывает существующие ограничения и не обещает участникам полномочий, которых у них нет.</w:t>
      </w:r>
    </w:p>
    <w:p>
      <w:pPr>
        <w:pStyle w:val="Heading1"/>
      </w:pPr>
      <w:r>
        <w:t>Заключение</w:t>
      </w:r>
    </w:p>
    <w:p>
      <w:r>
        <w:t>Малая группа способна расширить основания решения, но может и усилить первоначальные ошибки. Рассмотренные исследования показывают разные стороны этой двойственности: затруднения с использованием уникальной информации, сближение мнений без сопоставимого роста точности и возможности совместной результативности [1–3]. Из них не следует единая формула идеальной команды. Они помогают понять, почему оценивать решение только по согласию участников недостаточно.</w:t>
      </w:r>
    </w:p>
    <w:p>
      <w:r>
        <w:t>Я считаю обоснованным такой порядок работы: сначала прояснить задачу и критерии, затем собрать независимые позиции и сведения, после этого сравнить альтернативы и только в конце зафиксировать выбор, ответственных и условия пересмотра. Его смысл состоит не в усложнении каждого разговора, а в защите связи между сообщённой информацией и итоговым действием. Сильная группа умеет одновременно сохранять отношения, проверять аргументы и завершать обсуждение. Именно такое сочетание делает коллективный выбор содержательным и исполнимым.</w:t>
      </w:r>
    </w:p>
    <w:p>
      <w:pPr>
        <w:pStyle w:val="Heading1"/>
      </w:pPr>
      <w:r>
        <w:t>Список источников</w:t>
      </w:r>
    </w:p>
    <w:p>
      <w:pPr>
        <w:keepLines/>
        <w:spacing w:after="160" w:line="288" w:lineRule="auto"/>
        <w:ind w:firstLine="0"/>
        <w:jc w:val="left"/>
      </w:pPr>
      <w:r>
        <w:rPr>
          <w:sz w:val="24"/>
        </w:rPr>
        <w:t>1. Stasser G., Titus W. Pooling of Unshared Information in Group Decision Making: Biased Information Sampling During Discussion // Journal of Personality and Social Psychology. 1985. Vol. 48, no. 6. P. 1467–1478. DOI: 10.1037/0022-3514.48.6.1467.</w:t>
      </w:r>
    </w:p>
    <w:p>
      <w:pPr>
        <w:keepLines/>
        <w:spacing w:after="160" w:line="288" w:lineRule="auto"/>
        <w:ind w:firstLine="0"/>
        <w:jc w:val="left"/>
      </w:pPr>
      <w:r>
        <w:rPr>
          <w:sz w:val="24"/>
        </w:rPr>
        <w:t>2. Lorenz J., Rauhut H., Schweitzer F., Helbing D. How Social Influence Can Undermine the Wisdom of Crowd Effect // Proceedings of the National Academy of Sciences. 2011. Vol. 108, no. 22. P. 9020–9025. DOI: 10.1073/pnas.1008636108.</w:t>
      </w:r>
    </w:p>
    <w:p>
      <w:pPr>
        <w:keepLines/>
        <w:spacing w:after="160" w:line="288" w:lineRule="auto"/>
        <w:ind w:firstLine="0"/>
        <w:jc w:val="left"/>
      </w:pPr>
      <w:r>
        <w:rPr>
          <w:sz w:val="24"/>
        </w:rPr>
        <w:t>3. Woolley A. W., Chabris C. F., Pentland A., Hashmi N., Malone T. W. Evidence for a Collective Intelligence Factor in the Performance of Human Groups // Science. 2010. Vol. 330, no. 6004. P. 686–688. DOI: 10.1126/science.1193147.</w:t>
      </w:r>
    </w:p>
    <w:p>
      <w:pPr>
        <w:keepNext/>
        <w:spacing w:before="320"/>
        <w:ind w:firstLine="0"/>
      </w:pPr>
      <w:r>
        <w:rPr>
          <w:b/>
          <w:sz w:val="22"/>
        </w:rPr>
        <w:t>Основание и сведения об издании</w:t>
      </w:r>
    </w:p>
    <w:p>
      <w:pPr>
        <w:spacing w:line="276" w:lineRule="auto" w:after="140"/>
        <w:ind w:firstLine="0"/>
      </w:pPr>
      <w:r>
        <w:rPr>
          <w:sz w:val="22"/>
        </w:rPr>
        <w:t>РПД «Социология», набор 2025, с. 12–13, тема эссе № 23. Файл программы обновлён 22.06.2026.</w:t>
      </w:r>
    </w:p>
    <w:p>
      <w:pPr>
        <w:spacing w:line="276" w:lineRule="auto" w:after="140"/>
        <w:ind w:firstLine="0"/>
      </w:pPr>
      <w:r>
        <w:rPr>
          <w:sz w:val="22"/>
        </w:rPr>
        <w:t>Авторское учебное эссе Кладовой ГИПСР. Пример в тексте условный. Основание — опубликованная программа, а не подтверждение назначения темы конкретной группе. РПД не устанавливает объём и параметры оформления этого эссе; использован редакционный академический формат. Срок и дополнительные указания своего преподавателя нужно сверить отдельно.</w:t>
      </w:r>
    </w:p>
    <w:p>
      <w:pPr>
        <w:spacing w:line="276" w:lineRule="auto" w:after="140"/>
        <w:ind w:firstLine="0"/>
      </w:pPr>
      <w:r>
        <w:rPr>
          <w:sz w:val="22"/>
        </w:rPr>
        <w:t xml:space="preserve">Программа: </w:t>
      </w:r>
      <w:hyperlink r:id="rId11">
        <w:r>
          <w:rPr>
            <w:u w:val="single"/>
          </w:rPr>
          <w:t>https://disk.yandex.ru/d/ezdUIpO6jL4JDw</w:t>
        </w:r>
      </w:hyperlink>
      <w:r>
        <w:rPr>
          <w:sz w:val="22"/>
        </w:rPr>
        <w:t xml:space="preserve"> (проверено 11.09.2026). Бесплатно для личного учебного использования.</w:t>
      </w:r>
    </w:p>
    <w:sectPr w:rsidR="00FC693F" w:rsidRPr="0006063C" w:rsidSect="00034616">
      <w:headerReference w:type="default" r:id="rId9"/>
      <w:footerReference w:type="default" r:id="rId10"/>
      <w:pgSz w:w="11906" w:h="16838"/>
      <w:pgMar w:top="1134" w:right="850" w:bottom="1134" w:left="1701" w:header="454"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t>Кладовая ГИПСР · Эссе</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60" w:lineRule="auto" w:after="0"/>
      <w:ind w:firstLine="709"/>
      <w:jc w:val="both"/>
    </w:pPr>
    <w:rPr>
      <w:rFonts w:ascii="Times New Roman" w:hAnsi="Times New Roman" w:eastAsia="Times New Roman"/>
      <w:b w:val="0"/>
      <w:color w:val="000000"/>
      <w:sz w:val="28"/>
      <w:lang w:val="ru-RU"/>
    </w:rPr>
  </w:style>
  <w:style w:type="paragraph" w:styleId="Header">
    <w:name w:val="header"/>
    <w:basedOn w:val="Normal"/>
    <w:link w:val="HeaderChar"/>
    <w:uiPriority w:val="99"/>
    <w:unhideWhenUsed/>
    <w:rsid w:val="00E618BF"/>
    <w:pPr>
      <w:tabs>
        <w:tab w:val="center" w:pos="4680"/>
        <w:tab w:val="right" w:pos="9360"/>
      </w:tabs>
      <w:spacing w:after="0" w:line="240" w:lineRule="auto"/>
      <w:ind w:firstLine="0"/>
    </w:pPr>
    <w:rPr>
      <w:rFonts w:ascii="Times New Roman" w:hAnsi="Times New Roman" w:eastAsia="Times New Roman"/>
      <w:b w:val="0"/>
      <w:color w:val="000000"/>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ind w:firstLine="0"/>
    </w:pPr>
    <w:rPr>
      <w:rFonts w:ascii="Times New Roman" w:hAnsi="Times New Roman" w:eastAsia="Times New Roman"/>
      <w:b w:val="0"/>
      <w:color w:val="000000"/>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line="300" w:lineRule="auto"/>
      <w:ind w:firstLine="0"/>
      <w:outlineLvl w:val="0"/>
    </w:pPr>
    <w:rPr>
      <w:rFonts w:ascii="Times New Roman" w:hAnsi="Times New Roman" w:eastAsia="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40" w:after="160" w:line="300" w:lineRule="auto"/>
      <w:ind w:firstLine="0"/>
      <w:outlineLvl w:val="1"/>
    </w:pPr>
    <w:rPr>
      <w:rFonts w:ascii="Times New Roman" w:hAnsi="Times New Roman" w:eastAsia="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spacing w:after="160" w:line="300" w:lineRule="auto" w:before="240"/>
      <w:ind w:firstLine="0"/>
      <w:contextualSpacing/>
    </w:pPr>
    <w:rPr>
      <w:rFonts w:ascii="Times New Roman" w:hAnsi="Times New Roman" w:eastAsia="Times New Roman"/>
      <w:b/>
      <w:color w:val="000000"/>
      <w:spacing w:val="5"/>
      <w:kern w:val="28"/>
      <w:sz w:val="40"/>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240" w:after="160" w:line="300" w:lineRule="auto"/>
      <w:ind w:firstLine="0"/>
    </w:pPr>
    <w:rPr>
      <w:rFonts w:ascii="Times New Roman" w:hAnsi="Times New Roman" w:eastAsia="Times New Roman"/>
      <w:b w:val="0"/>
      <w:i/>
      <w:iCs/>
      <w:color w:val="000000"/>
      <w:spacing w:val="15"/>
      <w:sz w:val="28"/>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isk.yandex.ru/d/ezdUIpO6jL4JD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Социология малых групп: особенности принятия решений в группе</dc:title>
  <dc:subject>Социология</dc:subject>
  <dc:creator>Кладовая ГИПСР</dc:creator>
  <cp:keywords/>
  <dc:description/>
  <cp:lastModifiedBy/>
  <cp:revision>1</cp:revision>
  <dcterms:created xsi:type="dcterms:W3CDTF">2026-09-11T00:00:00Z</dcterms:created>
  <dcterms:modified xsi:type="dcterms:W3CDTF">2026-09-11T00:00:00Z</dcterms:modified>
  <cp:category/>
</cp:coreProperties>
</file>