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Психологические школы и их вклад</w:t>
      </w:r>
    </w:p>
    <w:p>
      <w:pPr>
        <w:pStyle w:val="Subtitle"/>
      </w:pPr>
      <w:r>
        <w:t>Общая психология часть 1 · Первый семестр</w:t>
      </w:r>
    </w:p>
    <w:p>
      <w:r>
        <w:t>Задание: сопоставить название школы, предмет психологии, методы и вклад в науку. РПД, с. 23, раздел 3, пункт 4. Ниже — шесть основных направлений и пояснения, помогающие защитить свой ответ.</w:t>
      </w:r>
    </w:p>
    <w:p>
      <w:r>
        <w:t>Бесплатный учебный разбор Кладовой ГИПСР. Основание — публичная РПД набора 2025 года, файл обновлён 22 июня 2026 года. Материал выполняет выбранный пункт, а не весь отчёт по дисциплине. Перед использованием сверьте формулировку и указания своего преподавателя.</w:t>
      </w:r>
    </w:p>
    <w:p>
      <w:pPr>
        <w:pStyle w:val="Heading1"/>
      </w:pPr>
      <w:r>
        <w:t>Направления первой половины XX века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4"/>
        <w:gridCol w:w="2268"/>
        <w:gridCol w:w="2268"/>
        <w:gridCol w:w="2948"/>
      </w:tblGrid>
      <w:tr>
        <w:trPr>
          <w:tblHeader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Школа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Предмет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Методы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Вклад в науку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Бихевиоризм</w:t>
              <w:br/>
              <w:t>Дж. Уотсон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Наблюдаемое поведение, его зависимость от условий среды и обучения.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Контролируемый эксперимент, наблюдение и регистрация поведения. Уотсон отвергал интроспекцию как основной научный метод.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Требование объективной проверки гипотез о поведении; развитие экспериментального изучения научения. Ограничение ранней версии — исключение внутреннего опыта из предмета психологии. [1]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Гештальт­психология</w:t>
              <w:br/>
              <w:t>М. Вертгеймер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Целостная организация восприятия: свойства воспринимаемого целого не сводятся к сумме элементов.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Эксперименты со зрительными конфигурациями и изменением условий восприятия; описание переживаемого образа.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Закономерности организации перцептивного поля, в частности группировка по близости и сходству. Это теория организации восприятия, а не название психотерапевтической техники. [2]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Психоанализ</w:t>
              <w:br/>
              <w:t>З. Фрейд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Бессознательные процессы, внутренние конфликты, взаимосвязь влечений и психологической защиты.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Клиническое наблюдение, свободные ассоциации, интерпретация сновидений и материала беседы.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Исторически значимая концепция бессознательного и конфликта, внимание к биографии и смыслу симптома. Интерпретация клинического случая сама по себе не подтверждает общую теорию экспериментально. [3]</w:t>
            </w:r>
          </w:p>
        </w:tc>
      </w:tr>
    </w:tbl>
    <w:p>
      <w:r>
        <w:br w:type="page"/>
      </w:r>
    </w:p>
    <w:p>
      <w:pPr>
        <w:pStyle w:val="Heading1"/>
      </w:pPr>
      <w:r>
        <w:t>Изучение личности и познания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54"/>
        <w:gridCol w:w="2268"/>
        <w:gridCol w:w="2268"/>
        <w:gridCol w:w="2948"/>
      </w:tblGrid>
      <w:tr>
        <w:trPr>
          <w:tblHeader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Школа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Предмет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Методы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/>
                <w:sz w:val="22"/>
              </w:rPr>
              <w:t>Вклад в науку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Гуманистическая психология</w:t>
              <w:br/>
              <w:t>К. Роджерс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Субъективный опыт человека, образ Я, личностное развитие и условия конструктивного изменения.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Изучение терапевтических отношений и самоописаний; сопоставление процесса общения и изменений личности.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Человекоцентрированный подход; постановка вопроса о роли эмпатии, принятия и подлинности отношений. В статье 1957 года Роджерс сформулировал условия терапевтического изменения как проверяемые положения. [4]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Когнитивная психология</w:t>
              <w:br/>
              <w:t>Дж. Миллер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Процессы переработки информации: кодирование, внимание, память, организация представлений.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Лабораторные задачи, измерение точности и времени ответа, сопоставление результатов с моделями обработки информации.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Экспериментальное возвращение внутренних познавательных процессов в исследование. Миллер показал значение перекодирования и укрупнения единиц материала; число 7±2 не является универсальным законом всех видов памяти. [5]</w:t>
            </w:r>
          </w:p>
        </w:tc>
      </w:tr>
      <w:tr>
        <w:trPr>
          <w:cantSplit/>
        </w:trPr>
        <w:tc>
          <w:tcPr>
            <w:tcW w:type="dxa" w:w="2154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Культурно-историческая психология</w:t>
              <w:br/>
              <w:t>Л. С. Выготский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Развитие высших психических функций в социальной деятельности через освоение культурных средств и знаков.</w:t>
            </w:r>
          </w:p>
        </w:tc>
        <w:tc>
          <w:tcPr>
            <w:tcW w:type="dxa" w:w="226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Генетический подход, сравнительное изучение развития, экспериментальное исследование образования понятий и речевого опосредствования.</w:t>
            </w:r>
          </w:p>
        </w:tc>
        <w:tc>
          <w:tcPr>
            <w:tcW w:type="dxa" w:w="2948"/>
          </w:tcPr>
          <w:p>
            <w:pPr>
              <w:spacing w:after="100" w:before="60" w:line="252" w:lineRule="auto"/>
            </w:pPr>
            <w:r>
              <w:rPr>
                <w:b w:val="0"/>
                <w:sz w:val="22"/>
              </w:rPr>
              <w:t>Объяснение социальной и знаковой природы высших функций; анализ связи мышления и речи. Значение слова рассматривается как единица исследования этой связи. [6]</w:t>
            </w:r>
          </w:p>
        </w:tc>
      </w:tr>
    </w:tbl>
    <w:p>
      <w:pPr>
        <w:pStyle w:val="Heading2"/>
      </w:pPr>
      <w:r>
        <w:t>Как читать сравнение</w:t>
      </w:r>
    </w:p>
    <w:p>
      <w:r>
        <w:t>Школы выделяют разные единицы анализа: действие, целостный образ, конфликт, переживаемое Я, операцию переработки информации и опосредствованную функцию. Поэтому один пример можно рассмотреть с разных сторон. Сопоставление не означает, что все исторические положения одинаково подтверждены современной наукой.</w:t>
      </w:r>
    </w:p>
    <w:p>
      <w:r>
        <w:br w:type="page"/>
      </w:r>
    </w:p>
    <w:p>
      <w:pPr>
        <w:pStyle w:val="Heading1"/>
      </w:pPr>
      <w:r>
        <w:t>Пояснение и самопроверка</w:t>
      </w:r>
    </w:p>
    <w:p>
      <w:pPr>
        <w:pStyle w:val="Heading2"/>
      </w:pPr>
      <w:r>
        <w:t>Один учебный пример</w:t>
      </w:r>
    </w:p>
    <w:p>
      <w:r>
        <w:t>Студент понимает тему, но откладывает подготовку к ответу. Бихевиористский анализ предложит наблюдать условия, при которых подготовка начинается, и её последствия. Когнитивный анализ сосредоточится на планировании и организации материала в памяти. Культурно-исторический анализ обратит внимание на внешние средства: план, схему и совместное проговаривание, которые помогают освоить самостоятельное действие. Это иллюстрация различий исследовательских вопросов, а не диагностика человека.</w:t>
      </w:r>
    </w:p>
    <w:p>
      <w:pPr>
        <w:pStyle w:val="Heading2"/>
      </w:pPr>
      <w:r>
        <w:t>Три частые путаницы</w:t>
      </w:r>
    </w:p>
    <w:p>
      <w:r>
        <w:t>1. Название метода не заменяет предмет: эксперимент — способ проверки, память — процесс, который исследуют.</w:t>
        <w:br/>
        <w:t>2. Гештальтпсихология восприятия и гештальттерапия не тождественны.</w:t>
        <w:br/>
        <w:t>3. Культурно-исторический подход не сводится к тому, что «общество влияет на человека»: важно показать средство, совместное действие и изменение самой психической функции.</w:t>
      </w:r>
    </w:p>
    <w:p>
      <w:pPr>
        <w:pStyle w:val="Heading2"/>
      </w:pPr>
      <w:r>
        <w:t>Проверьте себя</w:t>
      </w:r>
    </w:p>
    <w:p>
      <w:r>
        <w:t>1. Почему перечня фамилий недостаточно для ответа по РПД?</w:t>
        <w:br/>
        <w:t>2. Чем наблюдение действия отличается от вывода о внутреннем процессе?</w:t>
        <w:br/>
        <w:t>3. Что будет предметом когнитивного исследования в задаче запоминания?</w:t>
        <w:br/>
        <w:t>4. Почему шесть школ нельзя расположить от «плохой» к «лучшей» только по году возникновения?</w:t>
      </w:r>
    </w:p>
    <w:p>
      <w:pPr>
        <w:pStyle w:val="Heading2"/>
      </w:pPr>
      <w:r>
        <w:t>Ключ к самопроверке</w:t>
      </w:r>
    </w:p>
    <w:p>
      <w:r>
        <w:t>1. Нужны все четыре содержательных столбца: название, предмет, методы, вклад.</w:t>
        <w:br/>
        <w:t>2. Действие регистрируют непосредственно; вывод о процессе требует обоснованной модели и данных.</w:t>
        <w:br/>
        <w:t>3. Например, организация, кодирование и воспроизведение материала, измеренные через выполнение задачи.</w:t>
        <w:br/>
        <w:t>4. У школ различаются вопросы, способы проверки и исторический контекст; оценивать нужно конкретное утверждение и доказательства.</w:t>
      </w:r>
    </w:p>
    <w:p>
      <w:r>
        <w:br w:type="page"/>
      </w:r>
    </w:p>
    <w:p>
      <w:pPr>
        <w:pStyle w:val="Heading1"/>
      </w:pPr>
      <w:r>
        <w:t>Источники</w:t>
      </w:r>
    </w:p>
    <w:p>
      <w:pPr>
        <w:spacing w:after="140"/>
      </w:pPr>
      <w:r>
        <w:rPr>
          <w:sz w:val="20"/>
        </w:rPr>
        <w:t xml:space="preserve">Основание задания. ГИПСР. РПД «Общая психология ч.1», 37.03.01, набор 2025, с. 3, 23. Публичная папка: </w:t>
      </w:r>
      <w:hyperlink r:id="rId9">
        <w:r>
          <w:rPr>
            <w:sz w:val="20"/>
          </w:rPr>
          <w:t>https://disk.yandex.ru/d/ezdUIpO6jL4JDw</w:t>
        </w:r>
      </w:hyperlink>
      <w:r>
        <w:rPr>
          <w:sz w:val="20"/>
        </w:rPr>
        <w:t xml:space="preserve"> → Рабочие программы дисциплин. Дата проверки файла: 10.09.2026.</w:t>
      </w:r>
    </w:p>
    <w:p>
      <w:pPr>
        <w:spacing w:after="140"/>
      </w:pPr>
      <w:r>
        <w:rPr>
          <w:sz w:val="20"/>
        </w:rPr>
        <w:t xml:space="preserve">[1] Watson J. B. Psychology as the Behaviorist Views It // Psychological Review. 1913. Vol. 20. P. 158–177. DOI: 10.1037/h0074428. Авторский текст в научном архиве: </w:t>
      </w:r>
      <w:hyperlink r:id="rId10">
        <w:r>
          <w:rPr>
            <w:sz w:val="20"/>
          </w:rPr>
          <w:t>https://pure.mpg.de/pubman/item/item_2404108_2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[2] Wertheimer M. Untersuchungen zur Lehre von der Gestalt II // Psychologische Forschung. 1923. Bd. 4. S. 301–350. Перевод Laws of Organization in Perceptual Forms: </w:t>
      </w:r>
      <w:hyperlink r:id="rId11">
        <w:r>
          <w:rPr>
            <w:sz w:val="20"/>
          </w:rPr>
          <w:t>https://www.yorku.ca/pclassic/Wertheimer/Forms/forms.htm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[3] Freud S. A General Introduction to Psychoanalysis. New York: Horace Liveright, 1920. Английский перевод вводных лекций: </w:t>
      </w:r>
      <w:hyperlink r:id="rId12">
        <w:r>
          <w:rPr>
            <w:sz w:val="20"/>
          </w:rPr>
          <w:t>https://www.gutenberg.org/ebooks/38219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[4] Rogers C. R. The necessary and sufficient conditions of therapeutic personality change // Journal of Consulting Psychology. 1957. Vol. 21, no. 2. P. 95–103. DOI: 10.1037/h0045357. </w:t>
      </w:r>
      <w:hyperlink r:id="rId13">
        <w:r>
          <w:rPr>
            <w:sz w:val="20"/>
          </w:rPr>
          <w:t>https://pubmed.ncbi.nlm.nih.gov/13416422/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>[5] Miller G. A. The magical number seven, plus or minus two: Some limits on our capacity for processing information // Psychological Review. 1956. Vol. 63, no. 2. P. 81–97. DOI: 10.1037/h0043158.</w:t>
      </w:r>
    </w:p>
    <w:p>
      <w:pPr>
        <w:spacing w:after="140"/>
      </w:pPr>
      <w:r>
        <w:rPr>
          <w:sz w:val="20"/>
        </w:rPr>
        <w:t xml:space="preserve">[6] Выготский Л. С. Мышление и речь. М.; Л.: Гос. учеб.-пед. изд-во, 1934. Гл. 1, 5, 6. Электронная библиотека МГППУ: </w:t>
      </w:r>
      <w:hyperlink r:id="rId14">
        <w:r>
          <w:rPr>
            <w:sz w:val="20"/>
          </w:rPr>
          <w:t>https://www.psychlib.ru/mgppu/vmr-1934/vmr-001.htm</w:t>
        </w:r>
      </w:hyperlink>
      <w:r>
        <w:rPr>
          <w:sz w:val="20"/>
        </w:rPr>
      </w:r>
    </w:p>
    <w:p>
      <w:pPr>
        <w:pStyle w:val="Heading2"/>
      </w:pPr>
      <w:r>
        <w:t>Следующий шаг</w:t>
      </w:r>
    </w:p>
    <w:p>
      <w:r>
        <w:t>Если выдали другое задание, заполните форму в Салоне: дисциплина, точная формулировка, срок и подходящий бюджет. Укажите 0 ₽, если нужен бесплатный разбор. Для отправки нужен вход. Не присылайте чужие персональные данные. Получение запроса не означает обещание публикации или выполнения к сроку.</w:t>
      </w:r>
    </w:p>
    <w:p>
      <w:pPr>
        <w:spacing w:after="140"/>
      </w:pPr>
      <w:r>
        <w:rPr>
          <w:sz w:val="20"/>
        </w:rPr>
        <w:t xml:space="preserve">Передать задание: </w:t>
      </w:r>
      <w:hyperlink r:id="rId15">
        <w:r>
          <w:rPr>
            <w:sz w:val="20"/>
          </w:rPr>
          <w:t>https://akademsalon.ru/shop.html#request</w:t>
        </w:r>
      </w:hyperlink>
      <w:r>
        <w:rPr>
          <w:sz w:val="20"/>
        </w:rPr>
      </w:r>
    </w:p>
    <w:p>
      <w:pPr>
        <w:spacing w:after="140"/>
      </w:pPr>
      <w:r>
        <w:rPr>
          <w:sz w:val="20"/>
        </w:rPr>
        <w:t xml:space="preserve">Другие бесплатные материалы: </w:t>
      </w:r>
      <w:hyperlink r:id="rId16">
        <w:r>
          <w:rPr>
            <w:sz w:val="20"/>
          </w:rPr>
          <w:t>https://studkladovaya.ru/library</w:t>
        </w:r>
      </w:hyperlink>
      <w:r>
        <w:rPr>
          <w:sz w:val="20"/>
        </w:rPr>
        <w:br/>
        <w:t xml:space="preserve">Отдельные платные комплекты с составом и ценами: </w:t>
      </w:r>
      <w:hyperlink r:id="rId17">
        <w:r>
          <w:rPr>
            <w:sz w:val="20"/>
          </w:rPr>
          <w:t>https://studkladovaya.ru/shop</w:t>
        </w:r>
      </w:hyperlink>
      <w:r>
        <w:rPr>
          <w:sz w:val="20"/>
        </w:rPr>
      </w:r>
    </w:p>
    <w:sectPr w:rsidR="00FC693F" w:rsidRPr="0006063C" w:rsidSect="00034616">
      <w:footerReference w:type="default" r:id="rId1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Кладовая ГИПСР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="Times New Roman" w:hAnsi="Times New Roman" w:eastAsia="Times New Roman" w:cs="Times New Roman"/>
      <w:i/>
      <w:iCs/>
      <w:color w:val="46464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footer" Target="footer1.xml"/><Relationship Id="rId9" Type="http://schemas.openxmlformats.org/officeDocument/2006/relationships/hyperlink" Target="https://disk.yandex.ru/d/ezdUIpO6jL4JDw" TargetMode="External"/><Relationship Id="rId10" Type="http://schemas.openxmlformats.org/officeDocument/2006/relationships/hyperlink" Target="https://pure.mpg.de/pubman/item/item_2404108_2" TargetMode="External"/><Relationship Id="rId11" Type="http://schemas.openxmlformats.org/officeDocument/2006/relationships/hyperlink" Target="https://www.yorku.ca/pclassic/Wertheimer/Forms/forms.htm" TargetMode="External"/><Relationship Id="rId12" Type="http://schemas.openxmlformats.org/officeDocument/2006/relationships/hyperlink" Target="https://www.gutenberg.org/ebooks/38219" TargetMode="External"/><Relationship Id="rId13" Type="http://schemas.openxmlformats.org/officeDocument/2006/relationships/hyperlink" Target="https://pubmed.ncbi.nlm.nih.gov/13416422/" TargetMode="External"/><Relationship Id="rId14" Type="http://schemas.openxmlformats.org/officeDocument/2006/relationships/hyperlink" Target="https://www.psychlib.ru/mgppu/vmr-1934/vmr-001.htm" TargetMode="External"/><Relationship Id="rId15" Type="http://schemas.openxmlformats.org/officeDocument/2006/relationships/hyperlink" Target="https://akademsalon.ru/shop.html#request" TargetMode="External"/><Relationship Id="rId16" Type="http://schemas.openxmlformats.org/officeDocument/2006/relationships/hyperlink" Target="https://studkladovaya.ru/library" TargetMode="External"/><Relationship Id="rId17" Type="http://schemas.openxmlformats.org/officeDocument/2006/relationships/hyperlink" Target="https://studkladovaya.ru/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Психологические школы и их вклад</dc:title>
  <dc:subject>Общая психология часть 1</dc:subject>
  <dc:creator>Кладовая ГИПСР</dc:creator>
  <cp:keywords>учебный разбор, психология, ГИПСР</cp:keywords>
  <dc:description/>
  <cp:lastModifiedBy/>
  <cp:revision>1</cp:revision>
  <dcterms:created xsi:type="dcterms:W3CDTF">2026-09-11T00:00:00Z</dcterms:created>
  <dcterms:modified xsi:type="dcterms:W3CDTF">2026-09-11T00:00:00Z</dcterms:modified>
  <cp:category/>
</cp:coreProperties>
</file>