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Глиальные клетки центральной нервной системы</w:t>
      </w:r>
    </w:p>
    <w:p>
      <w:pPr>
        <w:pStyle w:val="Subtitle"/>
      </w:pPr>
      <w:r>
        <w:t>Анатомия центральной нервной системы · Первый семестр</w:t>
      </w:r>
    </w:p>
    <w:p>
      <w:r>
        <w:t>Задание: заполнить таблицу глиальных клеток — астроциты, эпендимная глия, олигодендроглия, микроглия. РПД, с. 14, тема 1, пункт 2. В таблице связываются строение клетки и её функции.</w:t>
      </w:r>
    </w:p>
    <w:p>
      <w:r>
        <w:t>Бесплатный учебный разбор Кладовой ГИПСР. Основание — публичная РПД набора 2025 года, файл обновлён 22 июня 2026 года. Материал выполняет выбранный пункт, а не весь отчёт по дисциплине. Перед использованием сверьте формулировку и указания своего преподавателя.</w:t>
      </w:r>
    </w:p>
    <w:p>
      <w:pPr>
        <w:pStyle w:val="Heading1"/>
      </w:pPr>
      <w:r>
        <w:t>Клетки поддержки среды и ликворных путей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572"/>
        <w:gridCol w:w="4082"/>
      </w:tblGrid>
      <w:tr>
        <w:trPr>
          <w:tblHeader/>
        </w:trPr>
        <w:tc>
          <w:tcPr>
            <w:tcW w:type="dxa" w:w="1984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Глиальные клетки</w:t>
            </w:r>
          </w:p>
        </w:tc>
        <w:tc>
          <w:tcPr>
            <w:tcW w:type="dxa" w:w="3572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Структура</w:t>
            </w:r>
          </w:p>
        </w:tc>
        <w:tc>
          <w:tcPr>
            <w:tcW w:type="dxa" w:w="4082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Функции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Астроциты</w:t>
            </w:r>
          </w:p>
        </w:tc>
        <w:tc>
          <w:tcPr>
            <w:tcW w:type="dxa" w:w="3572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Разветвлённые клетки с многочисленными отростками. Их окончания контактируют с нейронами, синапсами и поверхностью сосудов. В сером и белом веществе строение и свойства астроцитов различаются.</w:t>
            </w:r>
          </w:p>
        </w:tc>
        <w:tc>
          <w:tcPr>
            <w:tcW w:type="dxa" w:w="4082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Поддержание ионного и водного равновесия, участие в обмене нейромедиаторов и метаболической поддержке нейронов. Отростки помогают поддерживать свойства гематоэнцефалического барьера, но физический барьер образуют прежде всего плотные контакты эндотелия. [1]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Эпендимная глия</w:t>
            </w:r>
          </w:p>
        </w:tc>
        <w:tc>
          <w:tcPr>
            <w:tcW w:type="dxa" w:w="3572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Клетки, выстилающие желудочки мозга и центральный канал спинного мозга. У многих клеток имеются подвижные реснички. Специализированный эпителий сосудистых сплетений отличается от обычной эпендимы.</w:t>
            </w:r>
          </w:p>
        </w:tc>
        <w:tc>
          <w:tcPr>
            <w:tcW w:type="dxa" w:w="4082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Реснички участвуют в движении спинномозговой жидкости по поверхности желудочков. Клетки связаны с поддержанием границы между тканью и ликвором. Основную секрецию ликвора связывают с сосудистыми сплетениями, а не со всей эпендимой. [1; 2]</w:t>
            </w:r>
          </w:p>
        </w:tc>
      </w:tr>
    </w:tbl>
    <w:p>
      <w:pPr>
        <w:pStyle w:val="Heading2"/>
      </w:pPr>
      <w:r>
        <w:t>Почему строение важно</w:t>
      </w:r>
    </w:p>
    <w:p>
      <w:r>
        <w:t>Разветвлённые отростки астроцита позволяют взаимодействовать с несколькими компонентами нервной ткани. Для эпендимной клетки важна поверхность, обращённая к ликвору: согласованное движение ресничек связано с перемещением жидкости. Функцию следует объяснять через конкретную особенность клетки, а не общей фразой «помогает нейронам».</w:t>
      </w:r>
    </w:p>
    <w:p>
      <w:r>
        <w:br w:type="page"/>
      </w:r>
    </w:p>
    <w:p>
      <w:pPr>
        <w:pStyle w:val="Heading1"/>
      </w:pPr>
      <w:r>
        <w:t>Миелин и иммунное наблюдение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572"/>
        <w:gridCol w:w="4082"/>
      </w:tblGrid>
      <w:tr>
        <w:trPr>
          <w:tblHeader/>
        </w:trPr>
        <w:tc>
          <w:tcPr>
            <w:tcW w:type="dxa" w:w="1984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Глиальные клетки</w:t>
            </w:r>
          </w:p>
        </w:tc>
        <w:tc>
          <w:tcPr>
            <w:tcW w:type="dxa" w:w="3572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Структура</w:t>
            </w:r>
          </w:p>
        </w:tc>
        <w:tc>
          <w:tcPr>
            <w:tcW w:type="dxa" w:w="4082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Функции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Олигодендроглия</w:t>
            </w:r>
          </w:p>
        </w:tc>
        <w:tc>
          <w:tcPr>
            <w:tcW w:type="dxa" w:w="3572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Олигодендроцит имеет отростки, мембраны которых формируют миелиновые участки вокруг аксонов в ЦНС. Одна клетка может образовать несколько межузловых сегментов на разных аксонах.</w:t>
            </w:r>
          </w:p>
        </w:tc>
        <w:tc>
          <w:tcPr>
            <w:tcW w:type="dxa" w:w="4082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Образование миелина и поддержка миелинизированных аксонов. Миелиновая оболочка способствует быстрому проведению импульса между узлами Ранвье. Олигодендроцит не равен шванновской клетке: последняя миелинизирует один межузловой сегмент в периферической нервной системе. [1]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Микроглия</w:t>
            </w:r>
          </w:p>
        </w:tc>
        <w:tc>
          <w:tcPr>
            <w:tcW w:type="dxa" w:w="3572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Резидентные иммунные клетки ЦНС с подвижными разветвлёнными отростками. Их форма и состояние меняются при реакции на повреждение. Источником популяции являются ранние эмбриональные миелоидные предшественники; это не разновидность нейрона.</w:t>
            </w:r>
          </w:p>
        </w:tc>
        <w:tc>
          <w:tcPr>
            <w:tcW w:type="dxa" w:w="4082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Наблюдение за локальной средой, распознавание повреждения, фагоцитоз и участие в иммунных реакциях. Взаимодействие с нервными клетками зависит от состояния ткани. Происхождение из предшественников желточного мешка показано методом отслеживания клеточной судьбы у мыши. [3]</w:t>
            </w:r>
          </w:p>
        </w:tc>
      </w:tr>
    </w:tbl>
    <w:p>
      <w:pPr>
        <w:pStyle w:val="Heading2"/>
      </w:pPr>
      <w:r>
        <w:t>Глия не является однородной массой</w:t>
      </w:r>
    </w:p>
    <w:p>
      <w:r>
        <w:t>Название объединяет разные типы клеток, происхождение и функции которых неодинаковы. Исследование транскриптомов клеток мозга взрослых людей выявило различия популяций глии между областями мозга. Поэтому общая учебная таблица полезна для ориентации, но не описывает все подтипы и состояния клеток. В работе Siletti и соавторов исследован материал трёх доноров; это атлас клеточного разнообразия, а не измерение универсального соотношения глии и нейронов для каждого человека. [4]</w:t>
      </w:r>
    </w:p>
    <w:p>
      <w:pPr>
        <w:pStyle w:val="Heading2"/>
      </w:pPr>
      <w:r>
        <w:t>Вывод</w:t>
      </w:r>
    </w:p>
    <w:p>
      <w:r>
        <w:t>Строение глиальных клеток связано с распределением функций: контактные отростки, реснички, миелиновые оболочки и иммунное наблюдение решают разные задачи. Нейроны передают и перерабатывают сигналы в условиях, которые вместе с другими компонентами ткани поддерживает глия.</w:t>
      </w:r>
    </w:p>
    <w:p>
      <w:r>
        <w:br w:type="page"/>
      </w:r>
    </w:p>
    <w:p>
      <w:pPr>
        <w:pStyle w:val="Heading1"/>
      </w:pPr>
      <w:r>
        <w:t>Самопроверка и источники</w:t>
      </w:r>
    </w:p>
    <w:p>
      <w:pPr>
        <w:pStyle w:val="Heading2"/>
      </w:pPr>
      <w:r>
        <w:t>Четыре вопроса</w:t>
      </w:r>
    </w:p>
    <w:p>
      <w:r>
        <w:t>1. Какая клетка участвует в образовании миелина в ЦНС?</w:t>
        <w:br/>
        <w:t>2. Почему нельзя писать, что вся эпендима производит ликвор?</w:t>
        <w:br/>
        <w:t>3. Что общего и различного у микроглии и астроцитов при повреждении?</w:t>
        <w:br/>
        <w:t>4. Корректно ли считать, что глии всегда ровно в десять раз больше нейронов?</w:t>
      </w:r>
    </w:p>
    <w:p>
      <w:pPr>
        <w:pStyle w:val="Heading2"/>
      </w:pPr>
      <w:r>
        <w:t>Ключ к самопроверке</w:t>
      </w:r>
    </w:p>
    <w:p>
      <w:r>
        <w:t>1. Олигодендроцит. Одна клетка может образовать несколько миелиновых сегментов.</w:t>
        <w:br/>
        <w:t>2. Нужно различать ресничную эпендиму и специализированный эпителий сосудистых сплетений.</w:t>
        <w:br/>
        <w:t>3. Оба типа реагируют на состояние ткани; микроглия относится к резидентным иммунным клеткам, а астроциты участвуют в поддержании среды и реактивных изменениях ткани.</w:t>
        <w:br/>
        <w:t>4. Нет: соотношение зависит от участка, вида клеток и способа подсчёта. Универсальное число без условий здесь не требуется.</w:t>
      </w:r>
    </w:p>
    <w:p>
      <w:pPr>
        <w:spacing w:after="140"/>
      </w:pPr>
      <w:r>
        <w:rPr>
          <w:sz w:val="20"/>
        </w:rPr>
        <w:t xml:space="preserve">Основание задания. ГИПСР. РПД «Анатомия центральной нервной системы», 37.03.01, набор 2025, с. 3, 14. </w:t>
      </w:r>
      <w:hyperlink r:id="rId9">
        <w:r>
          <w:rPr>
            <w:sz w:val="20"/>
          </w:rPr>
          <w:t>https://disk.yandex.ru/d/ezdUIpO6jL4JDw</w:t>
        </w:r>
      </w:hyperlink>
      <w:r>
        <w:rPr>
          <w:sz w:val="20"/>
        </w:rPr>
        <w:t xml:space="preserve"> → Рабочие программы дисциплин. Файл проверен 10.09.2026.</w:t>
      </w:r>
    </w:p>
    <w:p>
      <w:pPr>
        <w:spacing w:after="140"/>
      </w:pPr>
      <w:r>
        <w:rPr>
          <w:sz w:val="20"/>
        </w:rPr>
        <w:t xml:space="preserve">[1] Ludwig P. E., Das J. M. Histology, Glial Cells // StatPearls. Обновление статьи: 01.05.2023. </w:t>
      </w:r>
      <w:hyperlink r:id="rId10">
        <w:r>
          <w:rPr>
            <w:sz w:val="20"/>
          </w:rPr>
          <w:t>https://www.ncbi.nlm.nih.gov/books/NBK441945/</w:t>
        </w:r>
      </w:hyperlink>
      <w:r>
        <w:rPr>
          <w:sz w:val="20"/>
        </w:rPr>
      </w:r>
    </w:p>
    <w:p>
      <w:pPr>
        <w:spacing w:after="140"/>
      </w:pPr>
      <w:r>
        <w:rPr>
          <w:sz w:val="20"/>
        </w:rPr>
        <w:t xml:space="preserve">[2] Sawamoto K. et al. New neurons follow the flow of cerebrospinal fluid in the adult brain // Science. 2006. Vol. 311. P. 629–632. DOI: 10.1126/science.1119133. Эксперимент на мышах. </w:t>
      </w:r>
      <w:hyperlink r:id="rId11">
        <w:r>
          <w:rPr>
            <w:sz w:val="20"/>
          </w:rPr>
          <w:t>https://pubmed.ncbi.nlm.nih.gov/16410488/</w:t>
        </w:r>
      </w:hyperlink>
      <w:r>
        <w:rPr>
          <w:sz w:val="20"/>
        </w:rPr>
      </w:r>
    </w:p>
    <w:p>
      <w:pPr>
        <w:spacing w:after="140"/>
      </w:pPr>
      <w:r>
        <w:rPr>
          <w:sz w:val="20"/>
        </w:rPr>
        <w:t xml:space="preserve">[3] Ginhoux F. et al. Fate mapping analysis reveals that adult microglia derive from primitive macrophages // Science. 2010. Vol. 330. P. 841–845. DOI: 10.1126/science.1194637. </w:t>
      </w:r>
      <w:hyperlink r:id="rId12">
        <w:r>
          <w:rPr>
            <w:sz w:val="20"/>
          </w:rPr>
          <w:t>https://pmc.ncbi.nlm.nih.gov/articles/PMC3719181/</w:t>
        </w:r>
      </w:hyperlink>
      <w:r>
        <w:rPr>
          <w:sz w:val="20"/>
        </w:rPr>
      </w:r>
    </w:p>
    <w:p>
      <w:pPr>
        <w:spacing w:after="140"/>
      </w:pPr>
      <w:r>
        <w:rPr>
          <w:sz w:val="20"/>
        </w:rPr>
        <w:t xml:space="preserve">[4] Siletti K. et al. Transcriptomic diversity of cell types across the adult human brain // Science. 2023. Vol. 382. eadd7046. DOI: 10.1126/science.add7046. </w:t>
      </w:r>
      <w:hyperlink r:id="rId13">
        <w:r>
          <w:rPr>
            <w:sz w:val="20"/>
          </w:rPr>
          <w:t>https://pubmed.ncbi.nlm.nih.gov/37824663/</w:t>
        </w:r>
      </w:hyperlink>
      <w:r>
        <w:rPr>
          <w:sz w:val="20"/>
        </w:rPr>
      </w:r>
    </w:p>
    <w:p>
      <w:pPr>
        <w:pStyle w:val="Heading2"/>
      </w:pPr>
      <w:r>
        <w:t>Следующий шаг</w:t>
      </w:r>
    </w:p>
    <w:p>
      <w:r>
        <w:t>Если выдали другое задание, заполните форму в Салоне: дисциплина, точная формулировка, срок и подходящий бюджет. Укажите 0 ₽, если нужен бесплатный разбор. Для отправки нужен вход. Не присылайте чужие персональные данные. Получение запроса не означает обещание публикации или выполнения к сроку.</w:t>
      </w:r>
    </w:p>
    <w:p>
      <w:pPr>
        <w:spacing w:after="140"/>
      </w:pPr>
      <w:r>
        <w:rPr>
          <w:sz w:val="20"/>
        </w:rPr>
        <w:t xml:space="preserve">Передать задание: </w:t>
      </w:r>
      <w:hyperlink r:id="rId14">
        <w:r>
          <w:rPr>
            <w:sz w:val="20"/>
          </w:rPr>
          <w:t>https://akademsalon.ru/shop.html#request</w:t>
        </w:r>
      </w:hyperlink>
      <w:r>
        <w:rPr>
          <w:sz w:val="20"/>
        </w:rPr>
      </w:r>
    </w:p>
    <w:p>
      <w:pPr>
        <w:spacing w:after="140"/>
      </w:pPr>
      <w:r>
        <w:rPr>
          <w:sz w:val="20"/>
        </w:rPr>
        <w:t xml:space="preserve">Другие бесплатные материалы: </w:t>
      </w:r>
      <w:hyperlink r:id="rId15">
        <w:r>
          <w:rPr>
            <w:sz w:val="20"/>
          </w:rPr>
          <w:t>https://studkladovaya.ru/library</w:t>
        </w:r>
      </w:hyperlink>
      <w:r>
        <w:rPr>
          <w:sz w:val="20"/>
        </w:rPr>
        <w:br/>
        <w:t xml:space="preserve">Отдельные платные комплекты с составом и ценами: </w:t>
      </w:r>
      <w:hyperlink r:id="rId16">
        <w:r>
          <w:rPr>
            <w:sz w:val="20"/>
          </w:rPr>
          <w:t>https://studkladovaya.ru/shop</w:t>
        </w:r>
      </w:hyperlink>
      <w:r>
        <w:rPr>
          <w:sz w:val="20"/>
        </w:rPr>
      </w:r>
    </w:p>
    <w:sectPr w:rsidR="00FC693F" w:rsidRPr="0006063C" w:rsidSect="00034616">
      <w:footerReference w:type="default" r:id="rId1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Кладовая ГИПСР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eastAsia="Times New Roman" w:cs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9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9" w:lineRule="auto"/>
    </w:pPr>
    <w:rPr>
      <w:rFonts w:ascii="Times New Roman" w:hAnsi="Times New Roman" w:eastAsia="Times New Roman" w:cs="Times New Roman"/>
      <w:i/>
      <w:iCs/>
      <w:color w:val="46464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footer" Target="footer1.xml"/><Relationship Id="rId9" Type="http://schemas.openxmlformats.org/officeDocument/2006/relationships/hyperlink" Target="https://disk.yandex.ru/d/ezdUIpO6jL4JDw" TargetMode="External"/><Relationship Id="rId10" Type="http://schemas.openxmlformats.org/officeDocument/2006/relationships/hyperlink" Target="https://www.ncbi.nlm.nih.gov/books/NBK441945/" TargetMode="External"/><Relationship Id="rId11" Type="http://schemas.openxmlformats.org/officeDocument/2006/relationships/hyperlink" Target="https://pubmed.ncbi.nlm.nih.gov/16410488/" TargetMode="External"/><Relationship Id="rId12" Type="http://schemas.openxmlformats.org/officeDocument/2006/relationships/hyperlink" Target="https://pmc.ncbi.nlm.nih.gov/articles/PMC3719181/" TargetMode="External"/><Relationship Id="rId13" Type="http://schemas.openxmlformats.org/officeDocument/2006/relationships/hyperlink" Target="https://pubmed.ncbi.nlm.nih.gov/37824663/" TargetMode="External"/><Relationship Id="rId14" Type="http://schemas.openxmlformats.org/officeDocument/2006/relationships/hyperlink" Target="https://akademsalon.ru/shop.html#request" TargetMode="External"/><Relationship Id="rId15" Type="http://schemas.openxmlformats.org/officeDocument/2006/relationships/hyperlink" Target="https://studkladovaya.ru/library" TargetMode="External"/><Relationship Id="rId16" Type="http://schemas.openxmlformats.org/officeDocument/2006/relationships/hyperlink" Target="https://studkladovaya.ru/s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Глиальные клетки центральной нервной системы</dc:title>
  <dc:subject>Анатомия центральной нервной системы</dc:subject>
  <dc:creator>Кладовая ГИПСР</dc:creator>
  <cp:keywords>учебный разбор, психология, ГИПСР</cp:keywords>
  <dc:description/>
  <cp:lastModifiedBy/>
  <cp:revision>1</cp:revision>
  <dcterms:created xsi:type="dcterms:W3CDTF">2026-09-11T00:00:00Z</dcterms:created>
  <dcterms:modified xsi:type="dcterms:W3CDTF">2026-09-11T00:00:00Z</dcterms:modified>
  <cp:category/>
</cp:coreProperties>
</file>